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13" w:rsidRPr="004D4AE7" w:rsidRDefault="00042313" w:rsidP="00042313">
      <w:pPr>
        <w:rPr>
          <w:sz w:val="24"/>
          <w:szCs w:val="24"/>
        </w:rPr>
      </w:pPr>
      <w:r w:rsidRPr="004D4AE7">
        <w:rPr>
          <w:b/>
          <w:sz w:val="24"/>
          <w:szCs w:val="24"/>
        </w:rPr>
        <w:t>Appendix 'C' Proposed Apportionment of the Indicative Department for Transport 2020/21 New Start Integrated Transport Programme</w:t>
      </w:r>
    </w:p>
    <w:p w:rsidR="00042313" w:rsidRPr="004D4AE7" w:rsidRDefault="00042313" w:rsidP="00042313">
      <w:pPr>
        <w:rPr>
          <w:rFonts w:cs="Arial"/>
          <w:b/>
          <w:bCs/>
          <w:sz w:val="24"/>
          <w:szCs w:val="24"/>
        </w:rPr>
      </w:pPr>
      <w:r w:rsidRPr="004D4AE7">
        <w:rPr>
          <w:rFonts w:cs="Arial"/>
          <w:b/>
          <w:bCs/>
          <w:sz w:val="24"/>
          <w:szCs w:val="24"/>
        </w:rPr>
        <w:t xml:space="preserve">Approved First Calls </w:t>
      </w:r>
    </w:p>
    <w:tbl>
      <w:tblPr>
        <w:tblW w:w="10490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703"/>
        <w:gridCol w:w="1559"/>
        <w:gridCol w:w="2268"/>
      </w:tblGrid>
      <w:tr w:rsidR="00042313" w:rsidTr="003064FD"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13" w:rsidRPr="00D32F30" w:rsidRDefault="00042313" w:rsidP="003064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32F30">
              <w:rPr>
                <w:rFonts w:cs="Arial"/>
                <w:b/>
                <w:bCs/>
              </w:rPr>
              <w:t>Project Name</w:t>
            </w:r>
          </w:p>
        </w:tc>
        <w:tc>
          <w:tcPr>
            <w:tcW w:w="4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13" w:rsidRPr="00D32F30" w:rsidRDefault="00042313" w:rsidP="003064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32F30">
              <w:rPr>
                <w:rFonts w:cs="Arial"/>
                <w:b/>
                <w:bCs/>
              </w:rPr>
              <w:t>Project Description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13" w:rsidRPr="00D32F30" w:rsidRDefault="00042313" w:rsidP="003064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32F30">
              <w:rPr>
                <w:rFonts w:cs="Arial"/>
                <w:b/>
                <w:bCs/>
              </w:rPr>
              <w:t>Approved Budget (£m)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13" w:rsidRPr="00D32F30" w:rsidRDefault="00042313" w:rsidP="003064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32F30">
              <w:rPr>
                <w:rFonts w:cs="Arial"/>
                <w:b/>
              </w:rPr>
              <w:t>Cabinet Approval</w:t>
            </w:r>
          </w:p>
        </w:tc>
      </w:tr>
      <w:tr w:rsidR="00042313" w:rsidTr="003064FD">
        <w:trPr>
          <w:trHeight w:val="1381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 xml:space="preserve">M55 </w:t>
            </w:r>
            <w:proofErr w:type="spellStart"/>
            <w:r w:rsidRPr="00D32F30">
              <w:rPr>
                <w:rFonts w:cs="Arial"/>
              </w:rPr>
              <w:t>Heyhouses</w:t>
            </w:r>
            <w:proofErr w:type="spellEnd"/>
            <w:r w:rsidRPr="00D32F30">
              <w:rPr>
                <w:rFonts w:cs="Arial"/>
              </w:rPr>
              <w:t xml:space="preserve"> Link Road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</w:rPr>
            </w:pPr>
            <w:r w:rsidRPr="00D32F30">
              <w:rPr>
                <w:rFonts w:cs="Arial"/>
              </w:rPr>
              <w:t xml:space="preserve">This funding will support the delivery of the proposed link road to connect the existing roundabout at </w:t>
            </w:r>
            <w:proofErr w:type="spellStart"/>
            <w:r w:rsidRPr="00D32F30">
              <w:rPr>
                <w:rFonts w:cs="Arial"/>
              </w:rPr>
              <w:t>Whitehills</w:t>
            </w:r>
            <w:proofErr w:type="spellEnd"/>
            <w:r w:rsidRPr="00D32F30">
              <w:rPr>
                <w:rFonts w:cs="Arial"/>
              </w:rPr>
              <w:t xml:space="preserve"> Road to the north with </w:t>
            </w:r>
            <w:proofErr w:type="spellStart"/>
            <w:r w:rsidRPr="00D32F30">
              <w:rPr>
                <w:rFonts w:cs="Arial"/>
              </w:rPr>
              <w:t>Heyhouses</w:t>
            </w:r>
            <w:proofErr w:type="spellEnd"/>
            <w:r w:rsidRPr="00D32F30">
              <w:rPr>
                <w:rFonts w:cs="Arial"/>
              </w:rPr>
              <w:t xml:space="preserve"> Lane near the Cyprus Point development site to the south.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jc w:val="center"/>
              <w:rPr>
                <w:rFonts w:cs="Arial"/>
              </w:rPr>
            </w:pPr>
            <w:r w:rsidRPr="00D32F30">
              <w:rPr>
                <w:rFonts w:cs="Arial"/>
              </w:rPr>
              <w:t>1.700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autoSpaceDE w:val="0"/>
              <w:autoSpaceDN w:val="0"/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10</w:t>
            </w:r>
            <w:r w:rsidRPr="00D32F30">
              <w:rPr>
                <w:rFonts w:cs="Arial"/>
                <w:vertAlign w:val="superscript"/>
              </w:rPr>
              <w:t>th</w:t>
            </w:r>
            <w:r w:rsidRPr="00D32F30">
              <w:rPr>
                <w:rFonts w:cs="Arial"/>
              </w:rPr>
              <w:t xml:space="preserve"> August 2017.</w:t>
            </w:r>
          </w:p>
          <w:p w:rsidR="00042313" w:rsidRPr="00D32F30" w:rsidRDefault="00042313" w:rsidP="003064FD">
            <w:pPr>
              <w:autoSpaceDE w:val="0"/>
              <w:autoSpaceDN w:val="0"/>
              <w:spacing w:after="0" w:line="240" w:lineRule="auto"/>
              <w:rPr>
                <w:rFonts w:cs="Arial"/>
              </w:rPr>
            </w:pPr>
          </w:p>
        </w:tc>
      </w:tr>
      <w:tr w:rsidR="00042313" w:rsidTr="003064FD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The Bay Gateway (H2M6 link road)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jc w:val="both"/>
              <w:rPr>
                <w:rFonts w:cs="Arial"/>
              </w:rPr>
            </w:pPr>
            <w:r w:rsidRPr="00D32F30">
              <w:rPr>
                <w:rFonts w:cs="Arial"/>
              </w:rPr>
              <w:t>Provision for final stages of scheme delivery (i.e. Landscaping/Part One Claims)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jc w:val="center"/>
              <w:rPr>
                <w:rFonts w:cs="Arial"/>
              </w:rPr>
            </w:pPr>
            <w:r w:rsidRPr="00D32F30">
              <w:rPr>
                <w:rFonts w:cs="Arial"/>
              </w:rPr>
              <w:t>0.352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18</w:t>
            </w:r>
            <w:r w:rsidRPr="00D32F30">
              <w:rPr>
                <w:rFonts w:cs="Arial"/>
                <w:vertAlign w:val="superscript"/>
              </w:rPr>
              <w:t>th</w:t>
            </w:r>
            <w:r w:rsidRPr="00D32F30">
              <w:rPr>
                <w:rFonts w:cs="Arial"/>
              </w:rPr>
              <w:t xml:space="preserve"> January 2018 </w:t>
            </w:r>
          </w:p>
        </w:tc>
      </w:tr>
      <w:tr w:rsidR="00042313" w:rsidTr="003064FD"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D32F30">
              <w:rPr>
                <w:rFonts w:cs="Arial"/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32F30">
              <w:rPr>
                <w:rFonts w:cs="Arial"/>
                <w:b/>
                <w:bCs/>
              </w:rPr>
              <w:t>2.052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42313" w:rsidRPr="007B73D5" w:rsidRDefault="00042313" w:rsidP="00042313">
      <w:pPr>
        <w:pStyle w:val="ListParagraph"/>
        <w:spacing w:after="0" w:line="240" w:lineRule="auto"/>
        <w:rPr>
          <w:sz w:val="20"/>
          <w:szCs w:val="20"/>
          <w:lang w:eastAsia="en-US"/>
        </w:rPr>
      </w:pPr>
    </w:p>
    <w:p w:rsidR="00042313" w:rsidRDefault="00042313" w:rsidP="00042313">
      <w:pPr>
        <w:pStyle w:val="ListParagraph"/>
        <w:spacing w:after="0" w:line="240" w:lineRule="auto"/>
        <w:ind w:left="0"/>
        <w:rPr>
          <w:b/>
          <w:bCs/>
        </w:rPr>
      </w:pPr>
      <w:r w:rsidRPr="00D32F30">
        <w:rPr>
          <w:b/>
          <w:bCs/>
        </w:rPr>
        <w:t>Proposed Continuation of Annual Programmes of Work in 2020-21</w:t>
      </w:r>
    </w:p>
    <w:p w:rsidR="00042313" w:rsidRPr="00D32F30" w:rsidRDefault="00042313" w:rsidP="00042313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104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69"/>
        <w:gridCol w:w="1418"/>
        <w:gridCol w:w="4985"/>
      </w:tblGrid>
      <w:tr w:rsidR="00042313" w:rsidTr="003064FD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13" w:rsidRPr="00D32F30" w:rsidRDefault="00042313" w:rsidP="003064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32F30">
              <w:rPr>
                <w:rFonts w:cs="Arial"/>
                <w:b/>
                <w:bCs/>
              </w:rPr>
              <w:t>Project Name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13" w:rsidRPr="00D32F30" w:rsidRDefault="00042313" w:rsidP="003064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32F30">
              <w:rPr>
                <w:rFonts w:cs="Arial"/>
                <w:b/>
                <w:bCs/>
              </w:rPr>
              <w:t>Project Description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13" w:rsidRPr="00D32F30" w:rsidRDefault="00042313" w:rsidP="003064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32F30">
              <w:rPr>
                <w:rFonts w:cs="Arial"/>
                <w:b/>
                <w:bCs/>
              </w:rPr>
              <w:t>Allocation (£m)</w:t>
            </w:r>
          </w:p>
        </w:tc>
        <w:tc>
          <w:tcPr>
            <w:tcW w:w="4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313" w:rsidRPr="00D32F30" w:rsidRDefault="00042313" w:rsidP="003064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32F30">
              <w:rPr>
                <w:rFonts w:cs="Arial"/>
                <w:b/>
                <w:bCs/>
              </w:rPr>
              <w:t>Justification</w:t>
            </w:r>
          </w:p>
        </w:tc>
      </w:tr>
      <w:tr w:rsidR="00042313" w:rsidTr="003064F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City Deal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Annual Contribution to City Deal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jc w:val="center"/>
              <w:rPr>
                <w:rFonts w:cs="Arial"/>
              </w:rPr>
            </w:pPr>
            <w:r w:rsidRPr="00D32F30">
              <w:rPr>
                <w:rFonts w:cs="Arial"/>
              </w:rPr>
              <w:t>2.500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Supports the delivery of the transport related projects as part of the City Deal project.</w:t>
            </w:r>
          </w:p>
        </w:tc>
      </w:tr>
      <w:tr w:rsidR="00042313" w:rsidTr="003064F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2020-21 Road Safety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Design and delivery of projects identified through analysis of collision data to reduce the occurrence of road casualties.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pStyle w:val="ListParagraph"/>
              <w:spacing w:after="0" w:line="240" w:lineRule="auto"/>
              <w:ind w:left="0"/>
              <w:jc w:val="center"/>
            </w:pPr>
            <w:r w:rsidRPr="00D32F30">
              <w:t>0.500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As a highway authority the county council has a statutory duty to implement engineering solutions to improve the safety of the highway network</w:t>
            </w:r>
          </w:p>
        </w:tc>
      </w:tr>
      <w:tr w:rsidR="00042313" w:rsidTr="003064F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2020-21 Cycle Safety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Design and delivery of projects identified through analysis of collision data to reduce the occurrence of road casualties involving cyclists.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pStyle w:val="ListParagraph"/>
              <w:spacing w:after="0" w:line="240" w:lineRule="auto"/>
              <w:ind w:left="0"/>
              <w:jc w:val="center"/>
            </w:pPr>
            <w:r w:rsidRPr="00D32F30">
              <w:t>0.500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An annual allocation to specifically reduce cycling casualties and address wider objectives including perception of safety</w:t>
            </w:r>
          </w:p>
        </w:tc>
      </w:tr>
      <w:tr w:rsidR="00042313" w:rsidTr="003064FD"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2020-21 Public Rights Of Way</w:t>
            </w:r>
          </w:p>
          <w:p w:rsidR="00042313" w:rsidRPr="00D32F30" w:rsidRDefault="00042313" w:rsidP="003064FD">
            <w:pPr>
              <w:pStyle w:val="ListParagraph"/>
              <w:spacing w:after="0" w:line="240" w:lineRule="auto"/>
              <w:ind w:left="0"/>
            </w:pPr>
            <w:r w:rsidRPr="00D32F30">
              <w:t>(PROW)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 xml:space="preserve">A programme of work addressing issues with our PROW network in </w:t>
            </w:r>
            <w:r w:rsidRPr="00D32F30">
              <w:t>urban areas.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pStyle w:val="ListParagraph"/>
              <w:spacing w:after="0" w:line="240" w:lineRule="auto"/>
              <w:ind w:left="0"/>
              <w:jc w:val="center"/>
            </w:pPr>
            <w:r w:rsidRPr="00D32F30">
              <w:t>0.300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This annual allocation aims to improve the PROW network in urban areas, helping to encourage the use of this network as an alternative to vehicles and promoting healthy choices/encouraging exercise. This allocation supports the aims of the Cycling and Walking Strategy.</w:t>
            </w:r>
          </w:p>
        </w:tc>
      </w:tr>
      <w:tr w:rsidR="00042313" w:rsidTr="003064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2020-21 Bus</w:t>
            </w:r>
          </w:p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Stop Compliance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A programme of improvements at</w:t>
            </w:r>
          </w:p>
          <w:p w:rsidR="00042313" w:rsidRPr="00D32F30" w:rsidRDefault="00042313" w:rsidP="003064FD">
            <w:pPr>
              <w:pStyle w:val="ListParagraph"/>
              <w:spacing w:after="0" w:line="240" w:lineRule="auto"/>
              <w:ind w:left="0"/>
            </w:pPr>
            <w:r w:rsidRPr="00D32F30">
              <w:t>bus stops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pStyle w:val="ListParagraph"/>
              <w:spacing w:after="0" w:line="240" w:lineRule="auto"/>
              <w:ind w:left="0"/>
              <w:jc w:val="center"/>
            </w:pPr>
            <w:r w:rsidRPr="00D32F30">
              <w:t>0.020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  <w:r w:rsidRPr="00D32F30">
              <w:rPr>
                <w:rFonts w:cs="Arial"/>
              </w:rPr>
              <w:t>The Equality Act places a statutory duty on the county council to improve the accessibility of public transport, in terms of bus stops. This includes raising kerbs to ensure that boarding a bus is on the same level, reducing the risks for visually impaired people and people with reduced motor skills and co-ordination and older road users.</w:t>
            </w:r>
          </w:p>
        </w:tc>
      </w:tr>
      <w:tr w:rsidR="00042313" w:rsidTr="003064FD">
        <w:tc>
          <w:tcPr>
            <w:tcW w:w="40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D32F30">
              <w:rPr>
                <w:rFonts w:cs="Arial"/>
                <w:b/>
                <w:bCs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13" w:rsidRPr="00D32F30" w:rsidRDefault="00042313" w:rsidP="003064FD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D32F30">
              <w:rPr>
                <w:b/>
                <w:bCs/>
              </w:rPr>
              <w:t>3.820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13" w:rsidRPr="00D32F30" w:rsidRDefault="00042313" w:rsidP="003064FD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42313" w:rsidRPr="00D32F30" w:rsidRDefault="00042313" w:rsidP="00042313">
      <w:bookmarkStart w:id="0" w:name="_GoBack"/>
      <w:bookmarkEnd w:id="0"/>
    </w:p>
    <w:tbl>
      <w:tblPr>
        <w:tblStyle w:val="TableGrid"/>
        <w:tblW w:w="10490" w:type="dxa"/>
        <w:tblInd w:w="-577" w:type="dxa"/>
        <w:tblLook w:val="04A0" w:firstRow="1" w:lastRow="0" w:firstColumn="1" w:lastColumn="0" w:noHBand="0" w:noVBand="1"/>
      </w:tblPr>
      <w:tblGrid>
        <w:gridCol w:w="5080"/>
        <w:gridCol w:w="5410"/>
      </w:tblGrid>
      <w:tr w:rsidR="00042313" w:rsidTr="003064FD"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2313" w:rsidRPr="00D32F30" w:rsidRDefault="00042313" w:rsidP="003064FD">
            <w:pPr>
              <w:jc w:val="center"/>
              <w:rPr>
                <w:rFonts w:cs="Arial"/>
                <w:b/>
                <w:bCs/>
              </w:rPr>
            </w:pPr>
            <w:r w:rsidRPr="00D32F30">
              <w:rPr>
                <w:rFonts w:cs="Arial"/>
                <w:b/>
                <w:bCs/>
              </w:rPr>
              <w:t>Project Name</w:t>
            </w:r>
          </w:p>
        </w:tc>
        <w:tc>
          <w:tcPr>
            <w:tcW w:w="5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2313" w:rsidRPr="00D32F30" w:rsidRDefault="00042313" w:rsidP="003064FD">
            <w:pPr>
              <w:jc w:val="center"/>
              <w:rPr>
                <w:rFonts w:cs="Arial"/>
                <w:b/>
                <w:bCs/>
              </w:rPr>
            </w:pPr>
            <w:r w:rsidRPr="00D32F30">
              <w:rPr>
                <w:rFonts w:cs="Arial"/>
                <w:b/>
                <w:bCs/>
              </w:rPr>
              <w:t>Allocation (£)</w:t>
            </w:r>
          </w:p>
        </w:tc>
      </w:tr>
      <w:tr w:rsidR="00042313" w:rsidTr="003064FD">
        <w:tc>
          <w:tcPr>
            <w:tcW w:w="5080" w:type="dxa"/>
          </w:tcPr>
          <w:p w:rsidR="00042313" w:rsidRPr="00D32F30" w:rsidRDefault="00042313" w:rsidP="003064FD">
            <w:pPr>
              <w:jc w:val="center"/>
            </w:pPr>
            <w:r w:rsidRPr="00D32F30">
              <w:t>Contingency</w:t>
            </w:r>
          </w:p>
        </w:tc>
        <w:tc>
          <w:tcPr>
            <w:tcW w:w="5410" w:type="dxa"/>
          </w:tcPr>
          <w:p w:rsidR="00042313" w:rsidRPr="00D32F30" w:rsidRDefault="00042313" w:rsidP="003064FD">
            <w:pPr>
              <w:jc w:val="center"/>
            </w:pPr>
            <w:r w:rsidRPr="00D32F30">
              <w:t>£0.182</w:t>
            </w:r>
          </w:p>
        </w:tc>
      </w:tr>
    </w:tbl>
    <w:p w:rsidR="001A4646" w:rsidRDefault="00042313" w:rsidP="00042313"/>
    <w:sectPr w:rsidR="001A4646" w:rsidSect="00042313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6"/>
    <w:rsid w:val="00025350"/>
    <w:rsid w:val="00042313"/>
    <w:rsid w:val="002562B4"/>
    <w:rsid w:val="00B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4E97"/>
  <w15:chartTrackingRefBased/>
  <w15:docId w15:val="{15D04525-ABB7-4C9D-8C49-2384E9A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1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31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313"/>
    <w:pPr>
      <w:ind w:left="720"/>
      <w:contextualSpacing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>Lancashire County Council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Alker, Craig</dc:creator>
  <cp:keywords/>
  <dc:description/>
  <cp:lastModifiedBy>Alker, Craig</cp:lastModifiedBy>
  <cp:revision>2</cp:revision>
  <dcterms:created xsi:type="dcterms:W3CDTF">2020-02-28T08:41:00Z</dcterms:created>
  <dcterms:modified xsi:type="dcterms:W3CDTF">2020-02-28T08:42:00Z</dcterms:modified>
</cp:coreProperties>
</file>